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інститут мистецтв</w:t>
      </w:r>
    </w:p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A06A7C" w:rsidRDefault="00A819C8" w:rsidP="00A819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819C8" w:rsidRDefault="00A819C8" w:rsidP="00A819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A819C8" w:rsidRPr="00734249" w:rsidTr="00635D7C">
        <w:tc>
          <w:tcPr>
            <w:tcW w:w="2977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77446" w:rsidTr="00635D7C">
        <w:tc>
          <w:tcPr>
            <w:tcW w:w="2977" w:type="dxa"/>
          </w:tcPr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FC6072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E77446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77446" w:rsidRPr="00731E7F" w:rsidRDefault="00E77446" w:rsidP="005676D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77446" w:rsidRPr="007B5B25" w:rsidRDefault="00E77446" w:rsidP="00635D7C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 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77446" w:rsidRPr="007B5B25" w:rsidRDefault="00E77446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і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нституту мистецтв</w:t>
            </w:r>
          </w:p>
          <w:p w:rsidR="00E77446" w:rsidRPr="007B5B25" w:rsidRDefault="00FC6072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39.652</w:t>
            </w:r>
            <w:r w:rsidR="00E7744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="00E77446"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 ; посадкові місця – 20)</w:t>
            </w:r>
          </w:p>
          <w:p w:rsidR="00E77446" w:rsidRPr="007B5B25" w:rsidRDefault="00E77446" w:rsidP="00635D7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77446" w:rsidRPr="007B5B25" w:rsidRDefault="00E77446" w:rsidP="005676D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819C8" w:rsidRPr="007A735C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A819C8" w:rsidRPr="008650DD" w:rsidRDefault="00A819C8" w:rsidP="00A819C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7B5B25" w:rsidRDefault="00A819C8" w:rsidP="00A819C8">
      <w:pPr>
        <w:rPr>
          <w:lang w:val="uk-UA"/>
        </w:rPr>
      </w:pPr>
      <w:r w:rsidRPr="007B5B25">
        <w:rPr>
          <w:lang w:val="uk-UA"/>
        </w:rPr>
        <w:t>Спец. «Образотворче мистецтво», «Декоративне мистецтво, реставрація», «Дизайн»</w:t>
      </w:r>
      <w:r>
        <w:rPr>
          <w:lang w:val="uk-UA"/>
        </w:rPr>
        <w:t xml:space="preserve">, </w:t>
      </w:r>
      <w:r w:rsidRPr="00A06A7C">
        <w:rPr>
          <w:lang w:val="uk-UA"/>
        </w:rPr>
        <w:t>. «Музичне мистецтво», «Хореографія</w:t>
      </w:r>
      <w:r>
        <w:rPr>
          <w:b/>
          <w:sz w:val="28"/>
          <w:szCs w:val="28"/>
          <w:lang w:val="uk-UA"/>
        </w:rPr>
        <w:t xml:space="preserve">», </w:t>
      </w:r>
      <w:r w:rsidRPr="006C6375">
        <w:rPr>
          <w:lang w:val="uk-UA"/>
        </w:rPr>
        <w:t>«</w:t>
      </w:r>
      <w:r>
        <w:rPr>
          <w:lang w:val="uk-UA"/>
        </w:rPr>
        <w:t>Театральне</w:t>
      </w:r>
      <w:r w:rsidRPr="006C6375">
        <w:rPr>
          <w:lang w:val="uk-UA"/>
        </w:rPr>
        <w:t xml:space="preserve"> мистецтво»</w:t>
      </w:r>
      <w:r>
        <w:rPr>
          <w:lang w:val="uk-UA"/>
        </w:rPr>
        <w:t>, «Реставрація творів мистецтва»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6662"/>
      </w:tblGrid>
      <w:tr w:rsidR="00A819C8" w:rsidRPr="00A03206" w:rsidTr="00635D7C">
        <w:trPr>
          <w:trHeight w:val="504"/>
        </w:trPr>
        <w:tc>
          <w:tcPr>
            <w:tcW w:w="7655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t>Art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line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1995, 1997-1999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BildendeKunst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1976-1979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I</w:t>
            </w:r>
            <w:proofErr w:type="spellStart"/>
            <w:r>
              <w:rPr>
                <w:lang w:val="en-US"/>
              </w:rPr>
              <w:t>nternationaltextiles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Антиквар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85E74">
              <w:rPr>
                <w:lang w:val="uk-UA"/>
              </w:rPr>
              <w:t>, 2022</w:t>
            </w:r>
            <w:r w:rsidR="00ED22C9">
              <w:rPr>
                <w:lang w:val="uk-UA"/>
              </w:rPr>
              <w:t>, 2023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Артанія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Архидом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 и престиж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</w:t>
            </w:r>
            <w:r>
              <w:rPr>
                <w:lang w:val="uk-UA"/>
              </w:rPr>
              <w:t>,</w:t>
            </w:r>
            <w:r>
              <w:t xml:space="preserve"> строительство</w:t>
            </w:r>
            <w:r>
              <w:rPr>
                <w:lang w:val="uk-UA"/>
              </w:rPr>
              <w:t>,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2008-2009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Ательє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2003-2016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</w:t>
            </w:r>
            <w:proofErr w:type="spellEnd"/>
            <w:r>
              <w:t xml:space="preserve"> і </w:t>
            </w:r>
            <w:proofErr w:type="spellStart"/>
            <w:r>
              <w:t>стандартизація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  <w:r w:rsidR="00485E74">
              <w:rPr>
                <w:lang w:val="uk-UA"/>
              </w:rPr>
              <w:t>, 2023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Будівельні конструкції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ED22C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2021- 2024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2005, 2007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en-US"/>
              </w:rPr>
              <w:t>Burda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Ватерпас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lastRenderedPageBreak/>
              <w:t>Великие художники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Галерея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2000</w:t>
            </w:r>
            <w:r>
              <w:rPr>
                <w:lang w:val="uk-UA"/>
              </w:rPr>
              <w:t>, 2001,2003-2007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Дом и интерьер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Элитдом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Интерьер </w:t>
            </w:r>
            <w:r>
              <w:rPr>
                <w:lang w:val="uk-UA"/>
              </w:rPr>
              <w:t>+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2001-2004, 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Искусство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1967, 1971, 1976, 1987-1989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Кі</w:t>
            </w:r>
            <w:proofErr w:type="gramStart"/>
            <w:r>
              <w:t>но</w:t>
            </w:r>
            <w:proofErr w:type="spellEnd"/>
            <w:r>
              <w:t>-театр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1998-2001, 2003, 2007- 2015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Ковальська</w:t>
            </w:r>
            <w:proofErr w:type="spellEnd"/>
            <w:r w:rsidR="00ED22C9">
              <w:rPr>
                <w:lang w:val="uk-UA"/>
              </w:rPr>
              <w:t xml:space="preserve"> </w:t>
            </w:r>
            <w:proofErr w:type="spellStart"/>
            <w:r>
              <w:t>майстерня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Кожа и обувь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2001-2004, 2007-2008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Ландшафт і архітектура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Ландшафтный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Мир упаковки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Мистецтво</w:t>
            </w:r>
            <w:proofErr w:type="spellEnd"/>
            <w:r>
              <w:t xml:space="preserve"> та </w:t>
            </w:r>
            <w:proofErr w:type="spellStart"/>
            <w:r>
              <w:t>осв</w:t>
            </w:r>
            <w:proofErr w:type="gramStart"/>
            <w:r>
              <w:t>i</w:t>
            </w:r>
            <w:proofErr w:type="gramEnd"/>
            <w:r>
              <w:t>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Мой уютный дом. Лиза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2003, 2004, 2007-201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Музика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1970, 1972, 1974-1979, 1981, 1984, 1986, 1987, 1989-1999, 2003-2020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Музыкальная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1966, 1968-1991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Народна творчість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1940, 1941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Народнемистецтво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1997, 1999-2011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Образотворче</w:t>
            </w:r>
            <w:proofErr w:type="spellEnd"/>
            <w:r w:rsidR="00ED22C9">
              <w:rPr>
                <w:lang w:val="uk-UA"/>
              </w:rPr>
              <w:t xml:space="preserve"> </w:t>
            </w:r>
            <w:proofErr w:type="spellStart"/>
            <w:r>
              <w:t>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1991, 1992, 1994-2021</w:t>
            </w:r>
          </w:p>
        </w:tc>
      </w:tr>
      <w:tr w:rsidR="00485E74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Основи та фундаменти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 w:rsidP="00ED22C9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2020</w:t>
            </w:r>
            <w:r w:rsidR="00ED22C9">
              <w:rPr>
                <w:lang w:val="uk-UA"/>
              </w:rPr>
              <w:t>- 2025</w:t>
            </w:r>
            <w:bookmarkStart w:id="0" w:name="_GoBack"/>
            <w:bookmarkEnd w:id="0"/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Особняк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Писанка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1992-1997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Салон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Современная драматургия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Стиль и дом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2001-2003, 2005-2007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Телекритика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Український</w:t>
            </w:r>
            <w:proofErr w:type="spellEnd"/>
            <w:r>
              <w:t xml:space="preserve"> театр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2003-20</w:t>
            </w:r>
            <w:r>
              <w:rPr>
                <w:lang w:val="en-US"/>
              </w:rPr>
              <w:t>11</w:t>
            </w:r>
          </w:p>
        </w:tc>
      </w:tr>
      <w:tr w:rsidR="005B5A35" w:rsidTr="005B5A35">
        <w:tblPrEx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Художники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</w:tbl>
    <w:p w:rsidR="00E32C03" w:rsidRDefault="00E32C03"/>
    <w:sectPr w:rsidR="00E32C03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1171"/>
    <w:multiLevelType w:val="hybridMultilevel"/>
    <w:tmpl w:val="88EC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19C8"/>
    <w:rsid w:val="00163308"/>
    <w:rsid w:val="003B1A0D"/>
    <w:rsid w:val="00475DCC"/>
    <w:rsid w:val="00485E74"/>
    <w:rsid w:val="005676D9"/>
    <w:rsid w:val="005B5A35"/>
    <w:rsid w:val="007E75F7"/>
    <w:rsid w:val="00807C0B"/>
    <w:rsid w:val="0083730D"/>
    <w:rsid w:val="00903A48"/>
    <w:rsid w:val="00A45F04"/>
    <w:rsid w:val="00A819C8"/>
    <w:rsid w:val="00A82F60"/>
    <w:rsid w:val="00AD35D7"/>
    <w:rsid w:val="00CE6C04"/>
    <w:rsid w:val="00E32C03"/>
    <w:rsid w:val="00E76BAF"/>
    <w:rsid w:val="00E77446"/>
    <w:rsid w:val="00ED22C9"/>
    <w:rsid w:val="00FC6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8</cp:revision>
  <dcterms:created xsi:type="dcterms:W3CDTF">2023-02-24T08:55:00Z</dcterms:created>
  <dcterms:modified xsi:type="dcterms:W3CDTF">2025-10-07T06:52:00Z</dcterms:modified>
</cp:coreProperties>
</file>